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t xml:space="preserve">Gemella Reynolds-Hatem</w:t>
      </w:r>
    </w:p>
    <w:p w:rsidR="00000000" w:rsidDel="00000000" w:rsidP="00000000" w:rsidRDefault="00000000" w:rsidRPr="00000000" w14:paraId="00000002">
      <w:pPr>
        <w:spacing w:line="360" w:lineRule="auto"/>
        <w:rPr/>
      </w:pPr>
      <w:r w:rsidDel="00000000" w:rsidR="00000000" w:rsidRPr="00000000">
        <w:rPr>
          <w:rtl w:val="0"/>
        </w:rPr>
        <w:t xml:space="preserve">Tumuaki</w:t>
      </w:r>
    </w:p>
    <w:p w:rsidR="00000000" w:rsidDel="00000000" w:rsidP="00000000" w:rsidRDefault="00000000" w:rsidRPr="00000000" w14:paraId="00000003">
      <w:pPr>
        <w:spacing w:line="360" w:lineRule="auto"/>
        <w:rPr/>
      </w:pPr>
      <w:r w:rsidDel="00000000" w:rsidR="00000000" w:rsidRPr="00000000">
        <w:rPr>
          <w:rtl w:val="0"/>
        </w:rPr>
        <w:t xml:space="preserve">4th Quaterly Report 2024</w:t>
      </w:r>
    </w:p>
    <w:p w:rsidR="00000000" w:rsidDel="00000000" w:rsidP="00000000" w:rsidRDefault="00000000" w:rsidRPr="00000000" w14:paraId="00000004">
      <w:pPr>
        <w:rPr/>
      </w:pPr>
      <w:r w:rsidDel="00000000" w:rsidR="00000000" w:rsidRPr="00000000">
        <w:rPr>
          <w:rtl w:val="0"/>
        </w:rPr>
        <w:t xml:space="preserve">Submitted 1145 words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Part One: Executive Officer position Description Duties</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Te Rōpū Māori Tumuaki shall be a voting ex-officio member of the OUSA Executive.</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duties of the Te Rōpū Māori Tumuaki are outlined in the Memorandum of Understanding between the Otago University Students’ Association and Te Rōpū Māori.</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 in the second quarter.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Where practical perform the general duties of all Executive Officers.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have largely completed this semester and have done my best to fulfill my responsibilities as an executive officer.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Provide a verbal report on activities of Te Rōpū Māori at each OUSA Executive meeting.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all the meetings I attended. I did this. </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 no less than five hours per week as ex-officio members of the OUSA Executive. </w:t>
      </w:r>
    </w:p>
    <w:p w:rsidR="00000000" w:rsidDel="00000000" w:rsidP="00000000" w:rsidRDefault="00000000" w:rsidRPr="00000000" w14:paraId="00000017">
      <w:pPr>
        <w:ind w:left="36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have executed this. </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Part Two: General Duties of All Executive Members</w:t>
      </w:r>
    </w:p>
    <w:p w:rsidR="00000000" w:rsidDel="00000000" w:rsidP="00000000" w:rsidRDefault="00000000" w:rsidRPr="00000000" w14:paraId="0000001B">
      <w:pPr>
        <w:rPr>
          <w:b w:val="1"/>
        </w:rPr>
      </w:pPr>
      <w:r w:rsidDel="00000000" w:rsidR="00000000" w:rsidRPr="00000000">
        <w:rPr>
          <w:b w:val="1"/>
          <w:rtl w:val="0"/>
        </w:rPr>
        <w:t xml:space="preserve">2.1. The appointed term for all OUSA Executive Officers shall commence from the 1st of January and will terminate on the 31st of December of that same year.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am continuing to do this.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2.2. Where reasonable, all Executive Officers are expected to assist as volunteers for OUSA events and functions, including, but not limited to:</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ab/>
        <w:t xml:space="preserve">2.2.1. Assisting at the OUSA Tent City and other activities during Summer </w:t>
        <w:tab/>
        <w:t xml:space="preserve">School, Orientation and Re-Orientation; and;</w:t>
      </w:r>
    </w:p>
    <w:p w:rsidR="00000000" w:rsidDel="00000000" w:rsidP="00000000" w:rsidRDefault="00000000" w:rsidRPr="00000000" w14:paraId="00000022">
      <w:pPr>
        <w:rPr/>
      </w:pPr>
      <w:r w:rsidDel="00000000" w:rsidR="00000000" w:rsidRPr="00000000">
        <w:rPr>
          <w:rtl w:val="0"/>
        </w:rPr>
        <w:t xml:space="preserve">N/A</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2.2.2. Assisting with elections and referenda where appropriate.</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There was a refernda in the first semester.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2.3. It is expected that Executive Officers attend Executive meetings.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was at all meetings or sent apologies.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2.4. Where reasonable, all Executive Officers are to be available for national conferences, national and local campaigns, Executive training sessions and Executive planning sessions.</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attended the national Māori student conference in Auckland in late August and was representing OUSA and Te Rōpū Māori at this kaupapa.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have also attended, three other national Māori student conferences this year, one in Hamilton, Dunedin and the last conference in Waikato.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2.5. All Executive officers shall:</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ab/>
        <w:t xml:space="preserve">3.5.1. Keep up to date with the Finance and Strategy Officer's Executive </w:t>
        <w:tab/>
        <w:t xml:space="preserve">budget, bringing to the Finance and Strategy Officer any spending proposals, </w:t>
        <w:tab/>
        <w:t xml:space="preserve">keeping track of their spending and ensuring they do not exceed budgeted </w:t>
        <w:tab/>
        <w:t xml:space="preserve">expenditure;</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t xml:space="preserve">This has been executed.  </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ab/>
        <w:t xml:space="preserve">2.5.2. Educate themselves on needs and experiences relevant to historically </w:t>
        <w:tab/>
        <w:t xml:space="preserve">marginalised demographic groups including intersectionality and </w:t>
        <w:tab/>
        <w:t xml:space="preserve">promote </w:t>
        <w:tab/>
        <w:t xml:space="preserve">and encourage all demographics to participate, where relevant, in </w:t>
        <w:tab/>
        <w:t xml:space="preserve">clubs, </w:t>
        <w:tab/>
        <w:t xml:space="preserve">societies, committees and OUSA events;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To effectively educate oneself on the needs and experiences of historically marginalized groups, it is crucial to explore intersectionality, which examines how various forms of discrimination—such as those based on race, gender, and sexuality—intersect. This requires actively seeking out resources, participating in meaningful conversations, and listening to the voices of these communities. Equally important is promoting inclusivity within clubs, societies, and events. Creating welcoming environments fosters diverse participation and representation. By facilitating open discussions, advocating for diversity in decision-making, and cultivating an inclusive culture, we ensure that all individuals feel seen, heard, and supported. This is particularly significant in initiatives such as OUSA events and kaupapa that align with Te Tiriti o Waitangi and uphold indigenous rights.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ab/>
        <w:t xml:space="preserve">2.5.3. Act in accordance with and uphold Te Tiriti o Waitangi while exercising </w:t>
        <w:tab/>
        <w:t xml:space="preserve">their duties;</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To honour Te Tiriti o Waitangi in fulfilling my responsibilities, it is vital to uphold the principles of partnership, protection, and participation. This means working alongside Māori communities to ensure their voices are valued and represented in decision-making processes. It also involves protecting Māori rights, culture, and interests while fostering equitable opportunities. Demonstrating this commitment includes actively promoting Māori values, te reo Māori, and tikanga within organizational practices. As Tumuaki Takirua of Te Rōpū Māori, I am committed to ensuring these principles are upheld to the highest standard.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ab/>
        <w:t xml:space="preserve">2.5.4. Where reasonable, attend events hosted by clubs related to </w:t>
        <w:tab/>
        <w:t xml:space="preserve">historically marginalised demographic groups;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See above and I have continued to this. </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ab/>
        <w:t xml:space="preserve">2.5.5. Prioritise sustainability and minimization of environmental impacts in </w:t>
        <w:tab/>
        <w:t xml:space="preserve">all aspects of their role and keep up to date with environmental issues;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Yes I do this! </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2.5.6. Every quarter undertake five hours of voluntary service which contributes to the local community; and;</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This has been achieved through my involvement with TRM and other initiatives supporting whānau, as well as in my part-time job, where I dedicate extra time to mentoring rangatahi, helping them navigate and thrive in Te Ao Māori.</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2.5.7. Regularly check and respond to all communications.</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have approved on this since last quarter and have continued to respond and keep my communication up this year.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Part Three: Attendance and involvement in OUSA and University Committees</w:t>
      </w:r>
    </w:p>
    <w:p w:rsidR="00000000" w:rsidDel="00000000" w:rsidP="00000000" w:rsidRDefault="00000000" w:rsidRPr="00000000" w14:paraId="00000052">
      <w:pPr>
        <w:rPr>
          <w:b w:val="1"/>
          <w:u w:val="singl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OUSA Executive Committee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Senate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Blues and Golds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BUGS &amp; BOGS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Distance Advisory Board.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Part Four: Goals and your Progress</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idugta9sz5jd" w:id="0"/>
      <w:bookmarkEnd w:id="0"/>
      <w:r w:rsidDel="00000000" w:rsidR="00000000" w:rsidRPr="00000000">
        <w:rPr>
          <w:rFonts w:ascii="Times New Roman" w:cs="Times New Roman" w:eastAsia="Times New Roman" w:hAnsi="Times New Roman"/>
          <w:b w:val="1"/>
          <w:color w:val="000000"/>
          <w:sz w:val="26"/>
          <w:szCs w:val="26"/>
          <w:rtl w:val="0"/>
        </w:rPr>
        <w:t xml:space="preserve">Te Rōpū Māori Constitutional Objectives</w:t>
      </w:r>
    </w:p>
    <w:p w:rsidR="00000000" w:rsidDel="00000000" w:rsidP="00000000" w:rsidRDefault="00000000" w:rsidRPr="00000000" w14:paraId="0000005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primary goal is to uphold the principles of Te Tiriti o Waitangi, in alignment with the Education and Training Act 2020, which highlights Te Tiriti's foundational role within tertiary education.</w:t>
      </w:r>
    </w:p>
    <w:p w:rsidR="00000000" w:rsidDel="00000000" w:rsidP="00000000" w:rsidRDefault="00000000" w:rsidRPr="00000000" w14:paraId="0000005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dedicated to supporting and advocating for the education and well-being of Māori students at the University of Otago, ensuring they have a safe and empowering environment to succeed. Providing a kainga rua (second home) for our tauira is essential, creating a space where they can freely express their identity as Māori without hesitation.</w:t>
      </w:r>
    </w:p>
    <w:p w:rsidR="00000000" w:rsidDel="00000000" w:rsidP="00000000" w:rsidRDefault="00000000" w:rsidRPr="00000000" w14:paraId="0000005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our key objectives is to secure spaces within the education system that facilitate the advancement of Māori. As Te Rito, we are actively discussing ways to enhance the physical environment of our whare (house). During the mid-semester break, we aim to revamp the whare, transforming the last unused room into a functional area for our tauira. Although unforeseen circumstances led to the loss of some food supplies, we remain committed to ensuring our cupboards are stocked with kai to foster greater engagement and manaakitanga for our tauira.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year we tried our best t</w: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eading=h.ku545bo1uzu9" w:id="1"/>
      <w:bookmarkEnd w:id="1"/>
      <w:r w:rsidDel="00000000" w:rsidR="00000000" w:rsidRPr="00000000">
        <w:rPr>
          <w:rFonts w:ascii="Times New Roman" w:cs="Times New Roman" w:eastAsia="Times New Roman" w:hAnsi="Times New Roman"/>
          <w:b w:val="1"/>
          <w:color w:val="000000"/>
          <w:sz w:val="26"/>
          <w:szCs w:val="26"/>
          <w:rtl w:val="0"/>
        </w:rPr>
        <w:t xml:space="preserve">Liaison with the Broader Māori Community</w:t>
      </w:r>
    </w:p>
    <w:p w:rsidR="00000000" w:rsidDel="00000000" w:rsidP="00000000" w:rsidRDefault="00000000" w:rsidRPr="00000000" w14:paraId="0000006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strive to build and maintain strong relationships at local, regional, and national levels. Locally, we have introduced weekly kaupapa (programs) to engage and support our tauira, alongside hosting activities during O-week to celebrate and uplift them. Regionally, we are developing closer connections with one of our mana whenua and will continue strengthening relationships with others throughout the year.</w:t>
      </w:r>
    </w:p>
    <w:p w:rsidR="00000000" w:rsidDel="00000000" w:rsidP="00000000" w:rsidRDefault="00000000" w:rsidRPr="00000000" w14:paraId="0000006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national level, we actively participate in hui kaiarahi, bringing together presidents and vice-presidents of Māori student organizations to discuss regional and university matters. We have attended hui in Pōneke, another in Dunedin, and Huinga Tauira in Auckland. The final hui kaiarahi for the year will take place in Waikato, continuing our commitment to collaboration and unity at all levels.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b w:val="1"/>
          <w:u w:val="single"/>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Part Five: General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Meeting with a few students about associations and answering their questions</w:t>
      </w:r>
    </w:p>
    <w:p w:rsidR="00000000" w:rsidDel="00000000" w:rsidP="00000000" w:rsidRDefault="00000000" w:rsidRPr="00000000" w14:paraId="0000006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Providing a space for our member associations to promote their association to our Pacific students</w:t>
      </w:r>
    </w:p>
    <w:p w:rsidR="00000000" w:rsidDel="00000000" w:rsidP="00000000" w:rsidRDefault="00000000" w:rsidRPr="00000000" w14:paraId="0000006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Building relationships with MVC and the new VC to enable a more equitable outcome for TRM. </w:t>
      </w:r>
    </w:p>
    <w:p w:rsidR="00000000" w:rsidDel="00000000" w:rsidP="00000000" w:rsidRDefault="00000000" w:rsidRPr="00000000" w14:paraId="0000006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Formulating a new avenues for the betterment of TRM. </w:t>
      </w:r>
    </w:p>
    <w:p w:rsidR="00000000" w:rsidDel="00000000" w:rsidP="00000000" w:rsidRDefault="00000000" w:rsidRPr="00000000" w14:paraId="0000006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Providing new spaces for TRM tauira. </w:t>
      </w:r>
    </w:p>
    <w:p w:rsidR="00000000" w:rsidDel="00000000" w:rsidP="00000000" w:rsidRDefault="00000000" w:rsidRPr="00000000" w14:paraId="0000006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decimal"/>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FF2114"/>
  </w:style>
  <w:style w:type="paragraph" w:styleId="Heading1">
    <w:name w:val="heading 1"/>
    <w:basedOn w:val="Normal"/>
    <w:next w:val="Normal"/>
    <w:link w:val="Heading1Char"/>
    <w:uiPriority w:val="9"/>
    <w:qFormat w:val="1"/>
    <w:rsid w:val="00FF2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F2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F2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F2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F2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F2114"/>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F2114"/>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F2114"/>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F2114"/>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F2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F2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F2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F2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F2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F2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F2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F2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F2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F2114"/>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F2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F2114"/>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F2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F211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F2114"/>
    <w:rPr>
      <w:i w:val="1"/>
      <w:iCs w:val="1"/>
      <w:color w:val="404040" w:themeColor="text1" w:themeTint="0000BF"/>
    </w:rPr>
  </w:style>
  <w:style w:type="paragraph" w:styleId="ListParagraph">
    <w:name w:val="List Paragraph"/>
    <w:basedOn w:val="Normal"/>
    <w:link w:val="ListParagraphChar"/>
    <w:uiPriority w:val="34"/>
    <w:qFormat w:val="1"/>
    <w:rsid w:val="00FF2114"/>
    <w:pPr>
      <w:ind w:left="720"/>
      <w:contextualSpacing w:val="1"/>
    </w:pPr>
  </w:style>
  <w:style w:type="character" w:styleId="IntenseEmphasis">
    <w:name w:val="Intense Emphasis"/>
    <w:basedOn w:val="DefaultParagraphFont"/>
    <w:uiPriority w:val="21"/>
    <w:qFormat w:val="1"/>
    <w:rsid w:val="00FF2114"/>
    <w:rPr>
      <w:i w:val="1"/>
      <w:iCs w:val="1"/>
      <w:color w:val="0f4761" w:themeColor="accent1" w:themeShade="0000BF"/>
    </w:rPr>
  </w:style>
  <w:style w:type="paragraph" w:styleId="IntenseQuote">
    <w:name w:val="Intense Quote"/>
    <w:basedOn w:val="Normal"/>
    <w:next w:val="Normal"/>
    <w:link w:val="IntenseQuoteChar"/>
    <w:uiPriority w:val="30"/>
    <w:qFormat w:val="1"/>
    <w:rsid w:val="00FF2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F2114"/>
    <w:rPr>
      <w:i w:val="1"/>
      <w:iCs w:val="1"/>
      <w:color w:val="0f4761" w:themeColor="accent1" w:themeShade="0000BF"/>
    </w:rPr>
  </w:style>
  <w:style w:type="character" w:styleId="IntenseReference">
    <w:name w:val="Intense Reference"/>
    <w:basedOn w:val="DefaultParagraphFont"/>
    <w:uiPriority w:val="32"/>
    <w:qFormat w:val="1"/>
    <w:rsid w:val="00FF2114"/>
    <w:rPr>
      <w:b w:val="1"/>
      <w:bCs w:val="1"/>
      <w:smallCaps w:val="1"/>
      <w:color w:val="0f4761" w:themeColor="accent1" w:themeShade="0000BF"/>
      <w:spacing w:val="5"/>
    </w:rPr>
  </w:style>
  <w:style w:type="character" w:styleId="ListParagraphChar" w:customStyle="1">
    <w:name w:val="List Paragraph Char"/>
    <w:basedOn w:val="DefaultParagraphFont"/>
    <w:link w:val="ListParagraph"/>
    <w:uiPriority w:val="34"/>
    <w:locked w:val="1"/>
    <w:rsid w:val="00A012FC"/>
  </w:style>
  <w:style w:type="paragraph" w:styleId="NormalWeb">
    <w:name w:val="Normal (Web)"/>
    <w:basedOn w:val="Normal"/>
    <w:uiPriority w:val="99"/>
    <w:semiHidden w:val="1"/>
    <w:unhideWhenUsed w:val="1"/>
    <w:rsid w:val="00450037"/>
    <w:pPr>
      <w:spacing w:after="100" w:afterAutospacing="1" w:before="100" w:beforeAutospacing="1"/>
    </w:pPr>
    <w:rPr>
      <w:rFonts w:ascii="Times New Roman" w:cs="Times New Roman" w:eastAsia="Times New Roman" w:hAnsi="Times New Roman"/>
      <w:kern w:val="0"/>
      <w:lang w:eastAsia="en-GB"/>
    </w:rPr>
  </w:style>
  <w:style w:type="character" w:styleId="Strong">
    <w:name w:val="Strong"/>
    <w:basedOn w:val="DefaultParagraphFont"/>
    <w:uiPriority w:val="22"/>
    <w:qFormat w:val="1"/>
    <w:rsid w:val="00450037"/>
    <w:rPr>
      <w:b w:val="1"/>
      <w:bCs w:val="1"/>
    </w:rPr>
  </w:style>
  <w:style w:type="character" w:styleId="Emphasis">
    <w:name w:val="Emphasis"/>
    <w:basedOn w:val="DefaultParagraphFont"/>
    <w:uiPriority w:val="20"/>
    <w:qFormat w:val="1"/>
    <w:rsid w:val="00450037"/>
    <w:rPr>
      <w:i w:val="1"/>
      <w:iCs w:val="1"/>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4aFiAGea/7WCl8y7yvilACyBA==">CgMxLjAyDmguaWR1Z3RhOXN6NWpkMg5oLmt1NTQ1Ym8xdXp1OTgAciExLW83Nl9jWGw1V1MxX1lRVVhlTmhqUl93V3RqVDZELWU=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2024-10-01T09:52:00Z</dcterms:created>
  <dc:creator>Nouna Vinolia Likiliki</dc:creator>
</cp:coreProperties>
</file>